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63D" w14:textId="77777777" w:rsidR="00F25DA9" w:rsidRPr="00907067" w:rsidRDefault="00F25DA9" w:rsidP="00F25DA9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907067">
        <w:rPr>
          <w:rFonts w:asciiTheme="minorHAnsi" w:hAnsiTheme="minorHAnsi" w:cstheme="minorHAnsi"/>
          <w:b/>
          <w:bCs/>
        </w:rPr>
        <w:t>Greater Grand Traverse Area Continuum of Care (GGTACOC)</w:t>
      </w:r>
    </w:p>
    <w:p w14:paraId="514D673D" w14:textId="77777777" w:rsidR="00F25DA9" w:rsidRPr="00907067" w:rsidRDefault="00F25DA9" w:rsidP="00F25DA9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907067">
        <w:rPr>
          <w:rFonts w:asciiTheme="minorHAnsi" w:hAnsiTheme="minorHAnsi" w:cstheme="minorHAnsi"/>
          <w:b/>
          <w:bCs/>
        </w:rPr>
        <w:t>Review, Rating and Ranking Policy and Procedure</w:t>
      </w:r>
    </w:p>
    <w:p w14:paraId="217E6A46" w14:textId="77777777" w:rsidR="00F25DA9" w:rsidRDefault="00F25DA9" w:rsidP="00F25DA9">
      <w:pPr>
        <w:pStyle w:val="BodyText"/>
        <w:spacing w:before="139" w:line="259" w:lineRule="auto"/>
        <w:ind w:right="113"/>
        <w:jc w:val="both"/>
        <w:rPr>
          <w:b/>
          <w:bCs/>
          <w:sz w:val="24"/>
          <w:szCs w:val="24"/>
        </w:rPr>
      </w:pPr>
    </w:p>
    <w:p w14:paraId="09BFD47A" w14:textId="77777777" w:rsidR="00F25DA9" w:rsidRPr="0013653A" w:rsidRDefault="00F25DA9" w:rsidP="00F25DA9">
      <w:pPr>
        <w:pStyle w:val="Heading2"/>
      </w:pPr>
      <w:r w:rsidRPr="0013653A">
        <w:t>Background:</w:t>
      </w:r>
    </w:p>
    <w:p w14:paraId="1F470604" w14:textId="77777777" w:rsidR="00F25DA9" w:rsidRDefault="00F25DA9" w:rsidP="00F25DA9">
      <w:pPr>
        <w:pStyle w:val="BodyText"/>
        <w:spacing w:before="139" w:line="259" w:lineRule="auto"/>
        <w:ind w:right="113"/>
        <w:jc w:val="both"/>
      </w:pPr>
      <w:r>
        <w:t>Annually, the U.S. Department of Housing and Urban Development (HUD) holds a national competition</w:t>
      </w:r>
      <w:r>
        <w:rPr>
          <w:spacing w:val="1"/>
        </w:rPr>
        <w:t xml:space="preserve"> </w:t>
      </w:r>
      <w:r>
        <w:t>for Continuum of Care (CoC) Program Funds. This competition brings funds into the GGTACOC to provide housing and services to individuals and families who are experiencing homelessness. GGTACOC is responsible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completing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submitting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Consolidated</w:t>
      </w:r>
      <w:r>
        <w:rPr>
          <w:spacing w:val="-47"/>
        </w:rPr>
        <w:t xml:space="preserve"> </w:t>
      </w:r>
      <w:r>
        <w:t>Application for funding. The Consolidated Application consists of CoC Application,</w:t>
      </w:r>
      <w:r>
        <w:rPr>
          <w:spacing w:val="1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Listing, and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Applications.</w:t>
      </w:r>
    </w:p>
    <w:p w14:paraId="02BE9C0D" w14:textId="77777777" w:rsidR="00F25DA9" w:rsidRDefault="00F25DA9" w:rsidP="00F25DA9">
      <w:pPr>
        <w:pStyle w:val="BodyText"/>
        <w:spacing w:before="8"/>
        <w:rPr>
          <w:sz w:val="23"/>
        </w:rPr>
      </w:pPr>
    </w:p>
    <w:p w14:paraId="657554F8" w14:textId="77777777" w:rsidR="00F25DA9" w:rsidRDefault="00F25DA9" w:rsidP="00F25DA9">
      <w:pPr>
        <w:pStyle w:val="BodyText"/>
        <w:spacing w:line="259" w:lineRule="auto"/>
        <w:ind w:left="100" w:right="113"/>
        <w:jc w:val="both"/>
      </w:pPr>
      <w:r>
        <w:t>For the FY21 competition, new projects may be created through reallocation and/or</w:t>
      </w:r>
      <w:r>
        <w:rPr>
          <w:spacing w:val="1"/>
        </w:rPr>
        <w:t xml:space="preserve"> </w:t>
      </w:r>
      <w:r>
        <w:t>eligible bonus</w:t>
      </w:r>
      <w:r>
        <w:rPr>
          <w:spacing w:val="1"/>
        </w:rPr>
        <w:t xml:space="preserve"> </w:t>
      </w:r>
      <w:r>
        <w:t>projects.</w:t>
      </w:r>
      <w:r>
        <w:rPr>
          <w:spacing w:val="3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bonus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GGTACOC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announced</w:t>
      </w:r>
      <w:r>
        <w:rPr>
          <w:spacing w:val="-47"/>
        </w:rPr>
        <w:t xml:space="preserve"> </w:t>
      </w:r>
      <w:r>
        <w:t>by HUD</w:t>
      </w:r>
      <w:r>
        <w:rPr>
          <w:spacing w:val="-3"/>
        </w:rPr>
        <w:t xml:space="preserve"> </w:t>
      </w:r>
      <w:r>
        <w:t>in the FY21 NOFA.</w:t>
      </w:r>
    </w:p>
    <w:p w14:paraId="61499B6A" w14:textId="77777777" w:rsidR="00F25DA9" w:rsidRDefault="00F25DA9" w:rsidP="00F25DA9">
      <w:pPr>
        <w:pStyle w:val="BodyText"/>
        <w:spacing w:before="8"/>
        <w:rPr>
          <w:sz w:val="23"/>
        </w:rPr>
      </w:pPr>
    </w:p>
    <w:p w14:paraId="5FDC22DF" w14:textId="77777777" w:rsidR="00F25DA9" w:rsidRDefault="00F25DA9" w:rsidP="00F25DA9">
      <w:pPr>
        <w:pStyle w:val="BodyText"/>
        <w:spacing w:line="259" w:lineRule="auto"/>
        <w:ind w:left="100" w:right="112"/>
        <w:jc w:val="both"/>
      </w:pPr>
      <w:r>
        <w:t>Through reallocation or bonus funding, CoCs may create the new projects as defined by the FY21 NOFA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aligned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Priorities,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adopted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the Steering Committee</w:t>
      </w:r>
      <w:r>
        <w:t>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they </w:t>
      </w:r>
      <w:proofErr w:type="gramStart"/>
      <w:r>
        <w:t xml:space="preserve">align </w:t>
      </w:r>
      <w:r>
        <w:rPr>
          <w:spacing w:val="-47"/>
        </w:rPr>
        <w:t xml:space="preserve"> </w:t>
      </w:r>
      <w:r>
        <w:t>with</w:t>
      </w:r>
      <w:proofErr w:type="gramEnd"/>
      <w:r>
        <w:rPr>
          <w:spacing w:val="-1"/>
        </w:rPr>
        <w:t xml:space="preserve"> </w:t>
      </w:r>
      <w:r>
        <w:t>HUD’s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FY21</w:t>
      </w:r>
      <w:r>
        <w:rPr>
          <w:spacing w:val="-1"/>
        </w:rPr>
        <w:t xml:space="preserve"> </w:t>
      </w:r>
      <w:r>
        <w:t>HUD</w:t>
      </w:r>
      <w:r>
        <w:rPr>
          <w:spacing w:val="-1"/>
        </w:rPr>
        <w:t xml:space="preserve"> </w:t>
      </w:r>
      <w:r>
        <w:t>Continuum</w:t>
      </w:r>
      <w:r>
        <w:rPr>
          <w:spacing w:val="-1"/>
        </w:rPr>
        <w:t xml:space="preserve"> </w:t>
      </w:r>
      <w:r>
        <w:t>of Care NOFA.</w:t>
      </w:r>
    </w:p>
    <w:p w14:paraId="1B32BE66" w14:textId="77777777" w:rsidR="00F25DA9" w:rsidRDefault="00F25DA9" w:rsidP="00F25DA9">
      <w:pPr>
        <w:pStyle w:val="BodyText"/>
        <w:spacing w:before="9"/>
        <w:rPr>
          <w:sz w:val="23"/>
        </w:rPr>
      </w:pPr>
    </w:p>
    <w:p w14:paraId="04BF0C6D" w14:textId="77777777" w:rsidR="00F25DA9" w:rsidRDefault="00F25DA9" w:rsidP="00F25DA9">
      <w:pPr>
        <w:pStyle w:val="BodyText"/>
        <w:spacing w:line="259" w:lineRule="auto"/>
        <w:ind w:left="100" w:right="111"/>
        <w:jc w:val="both"/>
      </w:pPr>
      <w:r>
        <w:t>The GGTACOC Steering Committee annually reviews and approves all NOFA related policies and</w:t>
      </w:r>
      <w:r>
        <w:rPr>
          <w:spacing w:val="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Rating,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Ranking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</w:p>
    <w:p w14:paraId="7C728B38" w14:textId="77777777" w:rsidR="00F25DA9" w:rsidRPr="00C9200D" w:rsidRDefault="00F25DA9" w:rsidP="00F25DA9">
      <w:pPr>
        <w:pStyle w:val="BodyText"/>
        <w:spacing w:line="259" w:lineRule="auto"/>
        <w:ind w:right="111"/>
        <w:jc w:val="both"/>
        <w:rPr>
          <w:sz w:val="24"/>
          <w:szCs w:val="24"/>
        </w:rPr>
      </w:pPr>
    </w:p>
    <w:p w14:paraId="5153E305" w14:textId="77777777" w:rsidR="00F25DA9" w:rsidRPr="00C9200D" w:rsidRDefault="00F25DA9" w:rsidP="00F25DA9">
      <w:pPr>
        <w:pStyle w:val="Heading2"/>
      </w:pPr>
      <w:r w:rsidRPr="00C9200D">
        <w:t>Review,</w:t>
      </w:r>
      <w:r w:rsidRPr="00C9200D">
        <w:rPr>
          <w:spacing w:val="-5"/>
        </w:rPr>
        <w:t xml:space="preserve"> </w:t>
      </w:r>
      <w:r w:rsidRPr="00C9200D">
        <w:t>Rating</w:t>
      </w:r>
      <w:r w:rsidRPr="00C9200D">
        <w:rPr>
          <w:spacing w:val="-3"/>
        </w:rPr>
        <w:t xml:space="preserve"> </w:t>
      </w:r>
      <w:r w:rsidRPr="00C9200D">
        <w:t>and</w:t>
      </w:r>
      <w:r w:rsidRPr="00C9200D">
        <w:rPr>
          <w:spacing w:val="-3"/>
        </w:rPr>
        <w:t xml:space="preserve"> </w:t>
      </w:r>
      <w:r w:rsidRPr="00C9200D">
        <w:t>Ranking</w:t>
      </w:r>
      <w:r w:rsidRPr="00C9200D">
        <w:rPr>
          <w:spacing w:val="-3"/>
        </w:rPr>
        <w:t xml:space="preserve"> </w:t>
      </w:r>
      <w:r w:rsidRPr="00C9200D">
        <w:t>Policy:</w:t>
      </w:r>
    </w:p>
    <w:p w14:paraId="1A392470" w14:textId="77777777" w:rsidR="00F25DA9" w:rsidRDefault="00F25DA9" w:rsidP="00F25DA9">
      <w:pPr>
        <w:pStyle w:val="BodyText"/>
        <w:spacing w:before="142" w:line="259" w:lineRule="auto"/>
        <w:ind w:left="100" w:right="113"/>
        <w:jc w:val="both"/>
      </w:pPr>
      <w:r>
        <w:t xml:space="preserve">All HUD CoC Program Renewal and New projects must be reviewed, </w:t>
      </w:r>
      <w:proofErr w:type="gramStart"/>
      <w:r>
        <w:t>scored</w:t>
      </w:r>
      <w:proofErr w:type="gramEnd"/>
      <w:r>
        <w:t xml:space="preserve"> and ranked annually in</w:t>
      </w:r>
      <w:r>
        <w:rPr>
          <w:spacing w:val="1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HUD</w:t>
      </w:r>
      <w:r>
        <w:rPr>
          <w:spacing w:val="-10"/>
        </w:rPr>
        <w:t xml:space="preserve"> </w:t>
      </w:r>
      <w:r>
        <w:t>CoC</w:t>
      </w:r>
      <w:r>
        <w:rPr>
          <w:spacing w:val="-8"/>
        </w:rPr>
        <w:t xml:space="preserve"> </w:t>
      </w:r>
      <w:r>
        <w:t>Collaborative</w:t>
      </w:r>
      <w:r>
        <w:rPr>
          <w:spacing w:val="-8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submission.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projects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ranked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priority</w:t>
      </w:r>
      <w:r>
        <w:rPr>
          <w:spacing w:val="-47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threshold</w:t>
      </w:r>
      <w:r>
        <w:rPr>
          <w:spacing w:val="-8"/>
        </w:rPr>
        <w:t xml:space="preserve"> </w:t>
      </w:r>
      <w:r>
        <w:t>outlined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HUD</w:t>
      </w:r>
      <w:r>
        <w:rPr>
          <w:spacing w:val="-6"/>
        </w:rPr>
        <w:t xml:space="preserve"> </w:t>
      </w:r>
      <w:r>
        <w:t>Continuum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NOFA.</w:t>
      </w:r>
      <w:r>
        <w:rPr>
          <w:spacing w:val="34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below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 renewal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 projects.</w:t>
      </w:r>
    </w:p>
    <w:p w14:paraId="1D37AC90" w14:textId="77777777" w:rsidR="00F25DA9" w:rsidRDefault="00F25DA9" w:rsidP="00F25DA9">
      <w:pPr>
        <w:pStyle w:val="BodyText"/>
        <w:spacing w:before="6"/>
        <w:rPr>
          <w:sz w:val="23"/>
        </w:rPr>
      </w:pPr>
    </w:p>
    <w:p w14:paraId="7BE3DBE9" w14:textId="77777777" w:rsidR="00F25DA9" w:rsidRDefault="00F25DA9" w:rsidP="00F25DA9">
      <w:pPr>
        <w:pStyle w:val="Heading3"/>
      </w:pPr>
      <w:r>
        <w:t>Renewal</w:t>
      </w:r>
      <w:r>
        <w:rPr>
          <w:spacing w:val="-4"/>
        </w:rPr>
        <w:t xml:space="preserve"> </w:t>
      </w:r>
      <w:r>
        <w:t>Projects:</w:t>
      </w:r>
    </w:p>
    <w:p w14:paraId="6F788469" w14:textId="77777777" w:rsidR="00F25DA9" w:rsidRDefault="00F25DA9" w:rsidP="00F25DA9">
      <w:pPr>
        <w:pStyle w:val="ListParagraph"/>
        <w:numPr>
          <w:ilvl w:val="1"/>
          <w:numId w:val="2"/>
        </w:numPr>
        <w:tabs>
          <w:tab w:val="left" w:pos="821"/>
        </w:tabs>
        <w:spacing w:before="142" w:line="259" w:lineRule="auto"/>
        <w:ind w:right="115"/>
      </w:pPr>
      <w:r>
        <w:t>Annually,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Steering Committee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objective</w:t>
      </w:r>
      <w:r>
        <w:rPr>
          <w:spacing w:val="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t>Scorecard</w:t>
      </w:r>
      <w:r>
        <w:rPr>
          <w:vertAlign w:val="superscript"/>
        </w:rPr>
        <w:t>1</w:t>
      </w:r>
      <w:r>
        <w:rPr>
          <w:spacing w:val="-4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data.</w:t>
      </w:r>
    </w:p>
    <w:p w14:paraId="7D7C9944" w14:textId="77777777" w:rsidR="00F25DA9" w:rsidRPr="00ED0DEB" w:rsidRDefault="00F25DA9" w:rsidP="00F25DA9">
      <w:pPr>
        <w:pStyle w:val="ListParagraph"/>
        <w:numPr>
          <w:ilvl w:val="1"/>
          <w:numId w:val="2"/>
        </w:numPr>
        <w:tabs>
          <w:tab w:val="left" w:pos="821"/>
        </w:tabs>
        <w:spacing w:before="1" w:line="256" w:lineRule="auto"/>
        <w:ind w:right="114"/>
      </w:pPr>
      <w:r w:rsidRPr="00ED0DEB">
        <w:t>Renewal</w:t>
      </w:r>
      <w:r w:rsidRPr="00ED0DEB">
        <w:rPr>
          <w:spacing w:val="1"/>
        </w:rPr>
        <w:t xml:space="preserve"> </w:t>
      </w:r>
      <w:r w:rsidRPr="00ED0DEB">
        <w:t>projects</w:t>
      </w:r>
      <w:r w:rsidRPr="00ED0DEB">
        <w:rPr>
          <w:spacing w:val="2"/>
        </w:rPr>
        <w:t xml:space="preserve"> </w:t>
      </w:r>
      <w:r w:rsidRPr="00ED0DEB">
        <w:t>that</w:t>
      </w:r>
      <w:r w:rsidRPr="00ED0DEB">
        <w:rPr>
          <w:spacing w:val="5"/>
        </w:rPr>
        <w:t xml:space="preserve"> </w:t>
      </w:r>
      <w:r w:rsidRPr="00ED0DEB">
        <w:t>have</w:t>
      </w:r>
      <w:r w:rsidRPr="00ED0DEB">
        <w:rPr>
          <w:spacing w:val="2"/>
        </w:rPr>
        <w:t xml:space="preserve"> </w:t>
      </w:r>
      <w:r w:rsidRPr="00ED0DEB">
        <w:t>a</w:t>
      </w:r>
      <w:r w:rsidRPr="00ED0DEB">
        <w:rPr>
          <w:spacing w:val="6"/>
        </w:rPr>
        <w:t xml:space="preserve"> </w:t>
      </w:r>
      <w:r w:rsidRPr="00ED0DEB">
        <w:t>Project</w:t>
      </w:r>
      <w:r w:rsidRPr="00ED0DEB">
        <w:rPr>
          <w:spacing w:val="2"/>
        </w:rPr>
        <w:t xml:space="preserve"> </w:t>
      </w:r>
      <w:r w:rsidRPr="00ED0DEB">
        <w:t>Performance</w:t>
      </w:r>
      <w:r w:rsidRPr="00ED0DEB">
        <w:rPr>
          <w:spacing w:val="3"/>
        </w:rPr>
        <w:t xml:space="preserve"> </w:t>
      </w:r>
      <w:r w:rsidRPr="00ED0DEB">
        <w:t>Scorecard</w:t>
      </w:r>
      <w:r w:rsidRPr="00ED0DEB">
        <w:rPr>
          <w:spacing w:val="4"/>
        </w:rPr>
        <w:t xml:space="preserve"> </w:t>
      </w:r>
      <w:r w:rsidRPr="00ED0DEB">
        <w:t>that</w:t>
      </w:r>
      <w:r w:rsidRPr="00ED0DEB">
        <w:rPr>
          <w:spacing w:val="-1"/>
        </w:rPr>
        <w:t xml:space="preserve"> </w:t>
      </w:r>
      <w:r w:rsidRPr="00ED0DEB">
        <w:t>meets</w:t>
      </w:r>
      <w:r w:rsidRPr="00ED0DEB">
        <w:rPr>
          <w:spacing w:val="3"/>
        </w:rPr>
        <w:t xml:space="preserve"> </w:t>
      </w:r>
      <w:r w:rsidRPr="00ED0DEB">
        <w:t>or</w:t>
      </w:r>
      <w:r w:rsidRPr="00ED0DEB">
        <w:rPr>
          <w:spacing w:val="4"/>
        </w:rPr>
        <w:t xml:space="preserve"> </w:t>
      </w:r>
      <w:r w:rsidRPr="00ED0DEB">
        <w:t>exceeds</w:t>
      </w:r>
      <w:r w:rsidRPr="00ED0DEB">
        <w:rPr>
          <w:spacing w:val="5"/>
        </w:rPr>
        <w:t xml:space="preserve"> </w:t>
      </w:r>
      <w:r w:rsidRPr="00ED0DEB">
        <w:t>60%,</w:t>
      </w:r>
      <w:r w:rsidRPr="00ED0DEB">
        <w:rPr>
          <w:spacing w:val="2"/>
        </w:rPr>
        <w:t xml:space="preserve"> </w:t>
      </w:r>
      <w:r w:rsidRPr="00ED0DEB">
        <w:t>will</w:t>
      </w:r>
      <w:r w:rsidRPr="00ED0DEB">
        <w:rPr>
          <w:spacing w:val="4"/>
        </w:rPr>
        <w:t xml:space="preserve"> </w:t>
      </w:r>
      <w:r w:rsidRPr="00ED0DEB">
        <w:t>be</w:t>
      </w:r>
      <w:r w:rsidRPr="00ED0DEB">
        <w:rPr>
          <w:spacing w:val="-47"/>
        </w:rPr>
        <w:t xml:space="preserve"> </w:t>
      </w:r>
      <w:r w:rsidRPr="00ED0DEB">
        <w:t>prioritized</w:t>
      </w:r>
      <w:r w:rsidRPr="00ED0DEB">
        <w:rPr>
          <w:spacing w:val="-1"/>
        </w:rPr>
        <w:t xml:space="preserve"> </w:t>
      </w:r>
      <w:r w:rsidRPr="00ED0DEB">
        <w:t>in</w:t>
      </w:r>
      <w:r w:rsidRPr="00ED0DEB">
        <w:rPr>
          <w:spacing w:val="-1"/>
        </w:rPr>
        <w:t xml:space="preserve"> </w:t>
      </w:r>
      <w:r w:rsidRPr="00ED0DEB">
        <w:t>project ranking</w:t>
      </w:r>
      <w:r w:rsidRPr="00ED0DEB">
        <w:rPr>
          <w:spacing w:val="-2"/>
        </w:rPr>
        <w:t xml:space="preserve"> </w:t>
      </w:r>
      <w:r w:rsidRPr="00ED0DEB">
        <w:t>before</w:t>
      </w:r>
      <w:r w:rsidRPr="00ED0DEB">
        <w:rPr>
          <w:spacing w:val="-2"/>
        </w:rPr>
        <w:t xml:space="preserve"> </w:t>
      </w:r>
      <w:r w:rsidRPr="00ED0DEB">
        <w:t>any</w:t>
      </w:r>
      <w:r w:rsidRPr="00ED0DEB">
        <w:rPr>
          <w:spacing w:val="-2"/>
        </w:rPr>
        <w:t xml:space="preserve"> </w:t>
      </w:r>
      <w:r w:rsidRPr="00ED0DEB">
        <w:t>additional</w:t>
      </w:r>
      <w:r w:rsidRPr="00ED0DEB">
        <w:rPr>
          <w:spacing w:val="-1"/>
        </w:rPr>
        <w:t xml:space="preserve"> </w:t>
      </w:r>
      <w:r w:rsidRPr="00ED0DEB">
        <w:t>new</w:t>
      </w:r>
      <w:r w:rsidRPr="00ED0DEB">
        <w:rPr>
          <w:spacing w:val="1"/>
        </w:rPr>
        <w:t xml:space="preserve"> </w:t>
      </w:r>
      <w:r w:rsidRPr="00ED0DEB">
        <w:t>projects</w:t>
      </w:r>
      <w:r w:rsidRPr="00ED0DEB">
        <w:rPr>
          <w:spacing w:val="-3"/>
        </w:rPr>
        <w:t xml:space="preserve"> </w:t>
      </w:r>
      <w:r w:rsidRPr="00ED0DEB">
        <w:t>submitted</w:t>
      </w:r>
      <w:r w:rsidRPr="00ED0DEB">
        <w:rPr>
          <w:spacing w:val="-1"/>
        </w:rPr>
        <w:t xml:space="preserve"> </w:t>
      </w:r>
      <w:r w:rsidRPr="00ED0DEB">
        <w:t>and</w:t>
      </w:r>
      <w:r w:rsidRPr="00ED0DEB">
        <w:rPr>
          <w:spacing w:val="-2"/>
        </w:rPr>
        <w:t xml:space="preserve"> </w:t>
      </w:r>
      <w:r w:rsidRPr="00ED0DEB">
        <w:t>approved.</w:t>
      </w:r>
    </w:p>
    <w:p w14:paraId="3010BFEA" w14:textId="77777777" w:rsidR="00F25DA9" w:rsidRDefault="00F25DA9" w:rsidP="00F25DA9">
      <w:pPr>
        <w:tabs>
          <w:tab w:val="left" w:pos="820"/>
          <w:tab w:val="left" w:pos="821"/>
        </w:tabs>
        <w:spacing w:before="4" w:line="259" w:lineRule="auto"/>
        <w:ind w:left="460" w:right="115"/>
      </w:pPr>
    </w:p>
    <w:p w14:paraId="0D9F3161" w14:textId="77777777" w:rsidR="00F25DA9" w:rsidRDefault="00F25DA9" w:rsidP="00F25DA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59" w:lineRule="auto"/>
        <w:ind w:right="115"/>
      </w:pPr>
      <w:r>
        <w:t>Renewal</w:t>
      </w:r>
      <w:r>
        <w:rPr>
          <w:spacing w:val="25"/>
        </w:rPr>
        <w:t xml:space="preserve"> </w:t>
      </w:r>
      <w:r>
        <w:t>projects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fall</w:t>
      </w:r>
      <w:r>
        <w:rPr>
          <w:spacing w:val="23"/>
        </w:rPr>
        <w:t xml:space="preserve"> </w:t>
      </w:r>
      <w:r>
        <w:t>below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t>Performance</w:t>
      </w:r>
      <w:r>
        <w:rPr>
          <w:spacing w:val="26"/>
        </w:rPr>
        <w:t xml:space="preserve"> </w:t>
      </w:r>
      <w:r>
        <w:t>Score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60%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ranked</w:t>
      </w:r>
      <w:r>
        <w:rPr>
          <w:spacing w:val="25"/>
        </w:rPr>
        <w:t xml:space="preserve"> </w:t>
      </w:r>
      <w:r>
        <w:t>purely</w:t>
      </w:r>
      <w:r>
        <w:rPr>
          <w:spacing w:val="-47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score, which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result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scoring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higher.,</w:t>
      </w:r>
    </w:p>
    <w:p w14:paraId="2F3600A6" w14:textId="77777777" w:rsidR="00F25DA9" w:rsidRDefault="00F25DA9" w:rsidP="00F25DA9">
      <w:pPr>
        <w:pStyle w:val="ListParagraph"/>
      </w:pPr>
    </w:p>
    <w:p w14:paraId="45C3B2CD" w14:textId="77777777" w:rsidR="00F25DA9" w:rsidRDefault="00F25DA9" w:rsidP="00F25DA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59" w:lineRule="auto"/>
        <w:ind w:right="115"/>
      </w:pPr>
      <w:r>
        <w:lastRenderedPageBreak/>
        <w:t>In</w:t>
      </w:r>
      <w:r w:rsidRPr="00E44A54">
        <w:rPr>
          <w:spacing w:val="-9"/>
        </w:rPr>
        <w:t xml:space="preserve"> </w:t>
      </w:r>
      <w:r>
        <w:t>addition,</w:t>
      </w:r>
      <w:r w:rsidRPr="00E44A54">
        <w:rPr>
          <w:spacing w:val="-8"/>
        </w:rPr>
        <w:t xml:space="preserve"> </w:t>
      </w:r>
      <w:r>
        <w:t>the</w:t>
      </w:r>
      <w:r w:rsidRPr="00E44A54">
        <w:rPr>
          <w:spacing w:val="-9"/>
        </w:rPr>
        <w:t xml:space="preserve"> </w:t>
      </w:r>
      <w:r>
        <w:t>Steering Committee can</w:t>
      </w:r>
      <w:r w:rsidRPr="00E44A54">
        <w:rPr>
          <w:spacing w:val="-8"/>
        </w:rPr>
        <w:t xml:space="preserve"> </w:t>
      </w:r>
      <w:r>
        <w:t>rank</w:t>
      </w:r>
      <w:r w:rsidRPr="00E44A54">
        <w:rPr>
          <w:spacing w:val="-10"/>
        </w:rPr>
        <w:t xml:space="preserve"> </w:t>
      </w:r>
      <w:r>
        <w:t>the</w:t>
      </w:r>
      <w:r w:rsidRPr="00E44A54">
        <w:rPr>
          <w:spacing w:val="-7"/>
        </w:rPr>
        <w:t xml:space="preserve"> </w:t>
      </w:r>
      <w:r>
        <w:t>project</w:t>
      </w:r>
      <w:r w:rsidRPr="00E44A54">
        <w:rPr>
          <w:spacing w:val="-7"/>
        </w:rPr>
        <w:t xml:space="preserve"> </w:t>
      </w:r>
      <w:r>
        <w:t>lower</w:t>
      </w:r>
      <w:r w:rsidRPr="00E44A54">
        <w:rPr>
          <w:spacing w:val="-8"/>
        </w:rPr>
        <w:t xml:space="preserve"> </w:t>
      </w:r>
      <w:r>
        <w:t>than</w:t>
      </w:r>
      <w:r w:rsidRPr="00E44A54">
        <w:rPr>
          <w:spacing w:val="-8"/>
        </w:rPr>
        <w:t xml:space="preserve"> </w:t>
      </w:r>
      <w:r>
        <w:t>a</w:t>
      </w:r>
      <w:r w:rsidRPr="00E44A54">
        <w:rPr>
          <w:spacing w:val="-8"/>
        </w:rPr>
        <w:t xml:space="preserve"> </w:t>
      </w:r>
      <w:r>
        <w:t>bonus/new</w:t>
      </w:r>
      <w:r w:rsidRPr="00E44A54">
        <w:rPr>
          <w:spacing w:val="-6"/>
        </w:rPr>
        <w:t xml:space="preserve"> </w:t>
      </w:r>
      <w:r>
        <w:t>project</w:t>
      </w:r>
      <w:r w:rsidRPr="00E44A54">
        <w:rPr>
          <w:spacing w:val="-7"/>
        </w:rPr>
        <w:t xml:space="preserve"> </w:t>
      </w:r>
      <w:r>
        <w:t>if</w:t>
      </w:r>
      <w:r w:rsidRPr="00E44A54">
        <w:rPr>
          <w:spacing w:val="-9"/>
        </w:rPr>
        <w:t xml:space="preserve"> </w:t>
      </w:r>
      <w:r>
        <w:t>there</w:t>
      </w:r>
      <w:r w:rsidRPr="00E44A54">
        <w:rPr>
          <w:spacing w:val="-47"/>
        </w:rPr>
        <w:t xml:space="preserve"> </w:t>
      </w:r>
      <w:r>
        <w:t>are other justifications, according to policies set forth in the Review, Rating, and Ranking Polices</w:t>
      </w:r>
      <w:r w:rsidRPr="00E44A54">
        <w:rPr>
          <w:spacing w:val="1"/>
        </w:rPr>
        <w:t xml:space="preserve"> </w:t>
      </w:r>
      <w:r>
        <w:t>and/or</w:t>
      </w:r>
      <w:r w:rsidRPr="00E44A54">
        <w:rPr>
          <w:spacing w:val="-3"/>
        </w:rPr>
        <w:t xml:space="preserve"> </w:t>
      </w:r>
      <w:r>
        <w:t>the Reallocation</w:t>
      </w:r>
      <w:r w:rsidRPr="00E44A54">
        <w:rPr>
          <w:spacing w:val="-1"/>
        </w:rPr>
        <w:t xml:space="preserve"> and </w:t>
      </w:r>
      <w:proofErr w:type="spellStart"/>
      <w:r w:rsidRPr="00E44A54">
        <w:rPr>
          <w:spacing w:val="-1"/>
        </w:rPr>
        <w:t>Deobligation</w:t>
      </w:r>
      <w:proofErr w:type="spellEnd"/>
      <w:r w:rsidRPr="00E44A54">
        <w:rPr>
          <w:spacing w:val="-1"/>
        </w:rPr>
        <w:t xml:space="preserve"> </w:t>
      </w:r>
      <w:r>
        <w:t>Policies</w:t>
      </w:r>
      <w:r w:rsidRPr="00E44A54">
        <w:rPr>
          <w:spacing w:val="1"/>
        </w:rPr>
        <w:t xml:space="preserve"> </w:t>
      </w:r>
      <w:r>
        <w:t>for ranking</w:t>
      </w:r>
      <w:r w:rsidRPr="00E44A54">
        <w:rPr>
          <w:spacing w:val="-1"/>
        </w:rPr>
        <w:t xml:space="preserve"> </w:t>
      </w:r>
      <w:r>
        <w:t>the</w:t>
      </w:r>
      <w:r w:rsidRPr="00E44A54">
        <w:rPr>
          <w:spacing w:val="1"/>
        </w:rPr>
        <w:t xml:space="preserve"> </w:t>
      </w:r>
      <w:r>
        <w:t>project</w:t>
      </w:r>
      <w:r w:rsidRPr="00E44A54">
        <w:rPr>
          <w:spacing w:val="-2"/>
        </w:rPr>
        <w:t xml:space="preserve"> </w:t>
      </w:r>
      <w:r>
        <w:t>lower.</w:t>
      </w:r>
    </w:p>
    <w:p w14:paraId="7FAF3BC9" w14:textId="77777777" w:rsidR="00F25DA9" w:rsidRDefault="00F25DA9" w:rsidP="00F25DA9">
      <w:pPr>
        <w:tabs>
          <w:tab w:val="left" w:pos="821"/>
        </w:tabs>
        <w:spacing w:before="77" w:line="259" w:lineRule="auto"/>
        <w:ind w:right="111"/>
      </w:pPr>
    </w:p>
    <w:p w14:paraId="00957BA5" w14:textId="77777777" w:rsidR="00F25DA9" w:rsidRDefault="00F25DA9" w:rsidP="00F25DA9">
      <w:pPr>
        <w:pStyle w:val="Heading3"/>
      </w:pPr>
      <w:r>
        <w:t>New</w:t>
      </w:r>
      <w:r>
        <w:rPr>
          <w:spacing w:val="-2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(Bonus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Reallocation)</w:t>
      </w:r>
    </w:p>
    <w:p w14:paraId="01B51288" w14:textId="77777777" w:rsidR="00F25DA9" w:rsidRDefault="00F25DA9" w:rsidP="00F25DA9">
      <w:pPr>
        <w:pStyle w:val="ListParagraph"/>
        <w:numPr>
          <w:ilvl w:val="1"/>
          <w:numId w:val="2"/>
        </w:numPr>
        <w:tabs>
          <w:tab w:val="left" w:pos="821"/>
        </w:tabs>
        <w:spacing w:before="142" w:line="259" w:lineRule="auto"/>
        <w:ind w:right="118"/>
        <w:jc w:val="both"/>
      </w:pPr>
      <w:r>
        <w:t>All New projects will be ranked lower than Renewal projects that meet or exceed threshold</w:t>
      </w:r>
      <w:r>
        <w:rPr>
          <w:spacing w:val="1"/>
        </w:rPr>
        <w:t xml:space="preserve"> </w:t>
      </w:r>
      <w:r>
        <w:t>performance.</w:t>
      </w:r>
    </w:p>
    <w:p w14:paraId="51894DD1" w14:textId="77777777" w:rsidR="00F25DA9" w:rsidRDefault="00F25DA9" w:rsidP="00F25DA9">
      <w:pPr>
        <w:pStyle w:val="BodyText"/>
        <w:spacing w:before="4"/>
        <w:rPr>
          <w:sz w:val="21"/>
        </w:rPr>
      </w:pPr>
    </w:p>
    <w:p w14:paraId="1B7B2C13" w14:textId="77777777" w:rsidR="00F25DA9" w:rsidRPr="00F25DA9" w:rsidRDefault="00F25DA9" w:rsidP="00F25DA9">
      <w:pPr>
        <w:pStyle w:val="Heading2"/>
      </w:pPr>
      <w:r w:rsidRPr="00F25DA9">
        <w:t>Procedure:</w:t>
      </w:r>
    </w:p>
    <w:p w14:paraId="5F56884D" w14:textId="77777777" w:rsidR="00F25DA9" w:rsidRDefault="00F25DA9" w:rsidP="00F25DA9">
      <w:pPr>
        <w:pStyle w:val="Heading3"/>
      </w:pPr>
      <w:r>
        <w:t>Scoring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Components:</w:t>
      </w:r>
    </w:p>
    <w:p w14:paraId="15B7E30B" w14:textId="77777777" w:rsidR="00F25DA9" w:rsidRDefault="00F25DA9" w:rsidP="00F25DA9">
      <w:pPr>
        <w:pStyle w:val="BodyText"/>
        <w:spacing w:before="141" w:line="259" w:lineRule="auto"/>
        <w:ind w:left="100" w:right="113"/>
        <w:jc w:val="both"/>
      </w:pPr>
      <w:r>
        <w:t>GGTACOC staff develops Scoring Instructions for both renewal and new projects to measure performance and</w:t>
      </w:r>
      <w:r>
        <w:rPr>
          <w:spacing w:val="1"/>
        </w:rPr>
        <w:t xml:space="preserve"> </w:t>
      </w:r>
      <w:r>
        <w:t>capacity using objective scoring criteria, including the HEARTH Performance Measures. The Steering Committee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CoC </w:t>
      </w:r>
      <w:r>
        <w:t>Executive Committee to review and score all local project applications. Both renewals and new projects are scored</w:t>
      </w:r>
      <w:r>
        <w:rPr>
          <w:spacing w:val="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categories:</w:t>
      </w:r>
    </w:p>
    <w:p w14:paraId="4A8DD425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/>
        <w:ind w:hanging="361"/>
      </w:pPr>
      <w:r>
        <w:t>Renewal</w:t>
      </w:r>
      <w:r>
        <w:rPr>
          <w:spacing w:val="-5"/>
        </w:rPr>
        <w:t xml:space="preserve"> </w:t>
      </w:r>
      <w:r>
        <w:t>Projects: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renewing</w:t>
      </w:r>
      <w:r>
        <w:rPr>
          <w:spacing w:val="-2"/>
        </w:rPr>
        <w:t xml:space="preserve"> </w:t>
      </w:r>
      <w:r>
        <w:t>projects that</w:t>
      </w:r>
      <w:r>
        <w:rPr>
          <w:spacing w:val="-4"/>
        </w:rPr>
        <w:t xml:space="preserve"> </w:t>
      </w:r>
      <w:r>
        <w:t>have operated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12-month</w:t>
      </w:r>
      <w:r>
        <w:rPr>
          <w:spacing w:val="-1"/>
        </w:rPr>
        <w:t xml:space="preserve"> </w:t>
      </w:r>
      <w:proofErr w:type="gramStart"/>
      <w:r>
        <w:t>period</w:t>
      </w:r>
      <w:proofErr w:type="gramEnd"/>
    </w:p>
    <w:p w14:paraId="3E105D4B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13"/>
      </w:pPr>
      <w:r>
        <w:t>First Time Renewal Projects: renewing projects that have not yet begun operating or have begun</w:t>
      </w:r>
      <w:r>
        <w:rPr>
          <w:spacing w:val="-47"/>
        </w:rPr>
        <w:t xml:space="preserve"> </w:t>
      </w:r>
      <w:r>
        <w:t>operating,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 completed</w:t>
      </w:r>
      <w:r>
        <w:rPr>
          <w:spacing w:val="-1"/>
        </w:rPr>
        <w:t xml:space="preserve"> </w:t>
      </w:r>
      <w:r>
        <w:t>a full</w:t>
      </w:r>
      <w:r>
        <w:rPr>
          <w:spacing w:val="-3"/>
        </w:rPr>
        <w:t xml:space="preserve"> </w:t>
      </w:r>
      <w:r>
        <w:t xml:space="preserve">12-month </w:t>
      </w:r>
      <w:proofErr w:type="gramStart"/>
      <w:r>
        <w:t>period;</w:t>
      </w:r>
      <w:proofErr w:type="gramEnd"/>
    </w:p>
    <w:p w14:paraId="14D7D586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13"/>
      </w:pPr>
      <w:r>
        <w:t>Extensions or Combinations of Renewal Projects</w:t>
      </w:r>
      <w:r>
        <w:rPr>
          <w:spacing w:val="-1"/>
        </w:rPr>
        <w:t xml:space="preserve"> </w:t>
      </w:r>
      <w:r>
        <w:t>and</w:t>
      </w:r>
    </w:p>
    <w:p w14:paraId="75656990" w14:textId="3767E442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New</w:t>
      </w:r>
      <w:r>
        <w:rPr>
          <w:spacing w:val="-3"/>
        </w:rPr>
        <w:t xml:space="preserve"> </w:t>
      </w:r>
      <w:r>
        <w:t>Projects:</w:t>
      </w:r>
      <w:r>
        <w:rPr>
          <w:spacing w:val="-1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proofErr w:type="gramStart"/>
      <w:r>
        <w:t>reallocation</w:t>
      </w:r>
      <w:proofErr w:type="gramEnd"/>
    </w:p>
    <w:p w14:paraId="4E8F9F70" w14:textId="77777777" w:rsidR="00F25DA9" w:rsidRDefault="00F25DA9" w:rsidP="00F25DA9">
      <w:pPr>
        <w:pStyle w:val="BodyText"/>
        <w:spacing w:before="141" w:line="259" w:lineRule="auto"/>
        <w:ind w:left="100" w:right="113"/>
        <w:jc w:val="both"/>
      </w:pPr>
      <w:r>
        <w:t>In order to be considered, all projects must pass the Threshold Criteria that included: (1) Application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3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deadline,</w:t>
      </w:r>
      <w:r>
        <w:rPr>
          <w:spacing w:val="-13"/>
        </w:rPr>
        <w:t xml:space="preserve"> </w:t>
      </w:r>
      <w:r>
        <w:t>(2)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consistent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GGTACOC</w:t>
      </w:r>
      <w:r>
        <w:rPr>
          <w:spacing w:val="-11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Priorities,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Consolidated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 of Michigan, (3) the agency does not have any outstanding HUD monitoring</w:t>
      </w:r>
      <w:r>
        <w:rPr>
          <w:spacing w:val="1"/>
        </w:rPr>
        <w:t xml:space="preserve"> </w:t>
      </w:r>
      <w:r>
        <w:t>and/or OIG Audit findings, and (4) the Project complies with the request of the CoC interim rule (24 CFR</w:t>
      </w:r>
      <w:r>
        <w:rPr>
          <w:spacing w:val="1"/>
        </w:rPr>
        <w:t xml:space="preserve"> </w:t>
      </w:r>
      <w:r>
        <w:t>part 578), including, but not limited to accepting referrals from the Coordinated Entry System (CES),</w:t>
      </w:r>
      <w:r>
        <w:rPr>
          <w:spacing w:val="1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Count,</w:t>
      </w:r>
      <w:r>
        <w:rPr>
          <w:spacing w:val="-7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Count,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NWCEH Committees</w:t>
      </w:r>
      <w:r>
        <w:rPr>
          <w:spacing w:val="-47"/>
        </w:rPr>
        <w:t xml:space="preserve"> </w:t>
      </w:r>
      <w:r>
        <w:t>in addition to an active SAMS registration and DUNS number and participation in the CoC HMIS (or</w:t>
      </w:r>
      <w:r>
        <w:rPr>
          <w:spacing w:val="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HMIS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management system for Victim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only).</w:t>
      </w:r>
    </w:p>
    <w:p w14:paraId="76E47BB4" w14:textId="77777777" w:rsidR="00F25DA9" w:rsidRDefault="00F25DA9" w:rsidP="00F25DA9">
      <w:pPr>
        <w:pStyle w:val="BodyText"/>
        <w:spacing w:before="6"/>
        <w:rPr>
          <w:sz w:val="23"/>
        </w:rPr>
      </w:pPr>
    </w:p>
    <w:p w14:paraId="366A976F" w14:textId="77777777" w:rsidR="00F25DA9" w:rsidRDefault="00F25DA9" w:rsidP="00F25DA9">
      <w:pPr>
        <w:pStyle w:val="BodyText"/>
        <w:spacing w:before="1" w:line="259" w:lineRule="auto"/>
        <w:ind w:left="100" w:right="114"/>
        <w:jc w:val="both"/>
      </w:pPr>
      <w:r>
        <w:t>The GGTACOC staff and Steering Committee’s primary responsibility is to (1) objectively review, rate, and rank all new and renewal project</w:t>
      </w:r>
      <w:r>
        <w:rPr>
          <w:spacing w:val="1"/>
        </w:rPr>
        <w:t xml:space="preserve"> </w:t>
      </w:r>
      <w:r>
        <w:t>applications and agency presentations (2) submit ranking recommendation of project priority for Tier 1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2.</w:t>
      </w:r>
    </w:p>
    <w:p w14:paraId="6A7C2AFF" w14:textId="77777777" w:rsidR="00F25DA9" w:rsidRDefault="00F25DA9" w:rsidP="00F25DA9">
      <w:pPr>
        <w:pStyle w:val="BodyText"/>
        <w:spacing w:before="8"/>
        <w:rPr>
          <w:sz w:val="23"/>
        </w:rPr>
      </w:pPr>
    </w:p>
    <w:p w14:paraId="388A5BEB" w14:textId="77777777" w:rsidR="00F25DA9" w:rsidRPr="004218D8" w:rsidRDefault="00F25DA9" w:rsidP="00F25DA9">
      <w:pPr>
        <w:pStyle w:val="Heading2"/>
      </w:pPr>
      <w:r w:rsidRPr="004218D8">
        <w:t>Renewal</w:t>
      </w:r>
      <w:r w:rsidRPr="004218D8">
        <w:rPr>
          <w:spacing w:val="-4"/>
        </w:rPr>
        <w:t xml:space="preserve"> </w:t>
      </w:r>
      <w:r w:rsidRPr="004218D8">
        <w:t>Project</w:t>
      </w:r>
      <w:r w:rsidRPr="004218D8">
        <w:rPr>
          <w:spacing w:val="-3"/>
        </w:rPr>
        <w:t xml:space="preserve"> </w:t>
      </w:r>
      <w:r w:rsidRPr="004218D8">
        <w:t>Scoring</w:t>
      </w:r>
      <w:r w:rsidRPr="004218D8">
        <w:rPr>
          <w:spacing w:val="-5"/>
        </w:rPr>
        <w:t xml:space="preserve"> </w:t>
      </w:r>
      <w:r w:rsidRPr="004218D8">
        <w:t>Components:</w:t>
      </w:r>
    </w:p>
    <w:p w14:paraId="2EF513B3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525"/>
          <w:tab w:val="left" w:pos="2232"/>
          <w:tab w:val="left" w:pos="3367"/>
          <w:tab w:val="left" w:pos="4663"/>
          <w:tab w:val="left" w:pos="5633"/>
          <w:tab w:val="left" w:pos="6898"/>
          <w:tab w:val="left" w:pos="7536"/>
          <w:tab w:val="left" w:pos="8188"/>
        </w:tabs>
        <w:spacing w:before="142" w:line="259" w:lineRule="auto"/>
        <w:ind w:right="116"/>
      </w:pPr>
      <w:r>
        <w:t>Must</w:t>
      </w:r>
      <w:r>
        <w:tab/>
        <w:t>meet</w:t>
      </w:r>
      <w:r>
        <w:tab/>
        <w:t>Threshold</w:t>
      </w:r>
      <w:r>
        <w:tab/>
        <w:t>Component</w:t>
      </w:r>
      <w:r>
        <w:tab/>
        <w:t>ensured</w:t>
      </w:r>
      <w:r>
        <w:tab/>
        <w:t>compliance</w:t>
      </w:r>
      <w:r>
        <w:tab/>
        <w:t>with</w:t>
      </w:r>
      <w:r>
        <w:tab/>
        <w:t>HUD</w:t>
      </w:r>
      <w:r>
        <w:tab/>
      </w:r>
      <w:r>
        <w:rPr>
          <w:spacing w:val="-1"/>
        </w:rPr>
        <w:t>organizational</w:t>
      </w:r>
      <w:r>
        <w:rPr>
          <w:spacing w:val="-47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HMIS</w:t>
      </w:r>
      <w:r>
        <w:rPr>
          <w:spacing w:val="-1"/>
        </w:rPr>
        <w:t xml:space="preserve"> </w:t>
      </w:r>
      <w:proofErr w:type="gramStart"/>
      <w:r>
        <w:t>implementation</w:t>
      </w:r>
      <w:proofErr w:type="gramEnd"/>
    </w:p>
    <w:p w14:paraId="0B017EE4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7" w:lineRule="exact"/>
        <w:ind w:hanging="361"/>
      </w:pPr>
      <w:r>
        <w:t>65% of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Project Score:</w:t>
      </w:r>
      <w:r>
        <w:rPr>
          <w:spacing w:val="-2"/>
        </w:rPr>
        <w:t xml:space="preserve"> </w:t>
      </w:r>
      <w:proofErr w:type="gramStart"/>
      <w:r>
        <w:t>12</w:t>
      </w:r>
      <w:r>
        <w:rPr>
          <w:spacing w:val="-3"/>
        </w:rPr>
        <w:t xml:space="preserve"> </w:t>
      </w:r>
      <w:r>
        <w:t>month</w:t>
      </w:r>
      <w:proofErr w:type="gramEnd"/>
      <w:r>
        <w:t>, Annual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Scorecard</w:t>
      </w:r>
      <w:r>
        <w:rPr>
          <w:spacing w:val="-2"/>
        </w:rPr>
        <w:t xml:space="preserve"> </w:t>
      </w:r>
      <w:r>
        <w:t>Measurement</w:t>
      </w:r>
    </w:p>
    <w:p w14:paraId="536DA188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35%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Score: Local</w:t>
      </w:r>
      <w:r>
        <w:rPr>
          <w:spacing w:val="-4"/>
        </w:rPr>
        <w:t xml:space="preserve"> </w:t>
      </w:r>
      <w:r>
        <w:t>Project Application</w:t>
      </w:r>
    </w:p>
    <w:p w14:paraId="1E846A83" w14:textId="77777777" w:rsidR="00F25DA9" w:rsidRDefault="00F25DA9" w:rsidP="00F25DA9">
      <w:pPr>
        <w:pStyle w:val="Heading2"/>
      </w:pPr>
    </w:p>
    <w:p w14:paraId="2FDABACB" w14:textId="3861E469" w:rsidR="00F25DA9" w:rsidRPr="0009616C" w:rsidRDefault="00F25DA9" w:rsidP="00F25DA9">
      <w:pPr>
        <w:pStyle w:val="Heading2"/>
      </w:pPr>
      <w: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Scoring</w:t>
      </w:r>
      <w:r>
        <w:rPr>
          <w:spacing w:val="-3"/>
        </w:rPr>
        <w:t xml:space="preserve"> </w:t>
      </w:r>
      <w:r>
        <w:t>Components:</w:t>
      </w:r>
    </w:p>
    <w:p w14:paraId="753CD629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525"/>
          <w:tab w:val="left" w:pos="2232"/>
          <w:tab w:val="left" w:pos="3367"/>
          <w:tab w:val="left" w:pos="4663"/>
          <w:tab w:val="left" w:pos="5633"/>
          <w:tab w:val="left" w:pos="6898"/>
          <w:tab w:val="left" w:pos="7536"/>
          <w:tab w:val="left" w:pos="8188"/>
        </w:tabs>
        <w:spacing w:before="77" w:line="259" w:lineRule="auto"/>
        <w:ind w:right="116"/>
      </w:pPr>
      <w:r>
        <w:t>Must</w:t>
      </w:r>
      <w:r>
        <w:tab/>
        <w:t>meet</w:t>
      </w:r>
      <w:r>
        <w:tab/>
        <w:t>Threshold</w:t>
      </w:r>
      <w:r>
        <w:tab/>
        <w:t>Component</w:t>
      </w:r>
      <w:r>
        <w:tab/>
        <w:t>ensured</w:t>
      </w:r>
      <w:r>
        <w:tab/>
        <w:t>compliance</w:t>
      </w:r>
      <w:r>
        <w:tab/>
        <w:t>with</w:t>
      </w:r>
      <w:r>
        <w:tab/>
        <w:t>HUD</w:t>
      </w:r>
      <w:r>
        <w:tab/>
      </w:r>
      <w:r>
        <w:rPr>
          <w:spacing w:val="-1"/>
        </w:rPr>
        <w:t>organizational</w:t>
      </w:r>
      <w:r>
        <w:rPr>
          <w:spacing w:val="-47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HMIS</w:t>
      </w:r>
      <w:r>
        <w:rPr>
          <w:spacing w:val="-1"/>
        </w:rPr>
        <w:t xml:space="preserve"> </w:t>
      </w:r>
      <w:proofErr w:type="gramStart"/>
      <w:r>
        <w:t>implementation</w:t>
      </w:r>
      <w:proofErr w:type="gramEnd"/>
    </w:p>
    <w:p w14:paraId="39F0C99F" w14:textId="77777777" w:rsidR="00F25DA9" w:rsidRDefault="00F25DA9" w:rsidP="00F25D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100%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Score:</w:t>
      </w:r>
      <w:r>
        <w:rPr>
          <w:spacing w:val="1"/>
        </w:rPr>
        <w:t xml:space="preserve"> </w:t>
      </w:r>
      <w:r>
        <w:t>Project Application</w:t>
      </w:r>
    </w:p>
    <w:p w14:paraId="6573B3CC" w14:textId="77777777" w:rsidR="00F25DA9" w:rsidRDefault="00F25DA9" w:rsidP="00F25DA9">
      <w:pPr>
        <w:tabs>
          <w:tab w:val="left" w:pos="820"/>
          <w:tab w:val="left" w:pos="821"/>
        </w:tabs>
        <w:spacing w:before="1"/>
      </w:pPr>
    </w:p>
    <w:p w14:paraId="22C58D8D" w14:textId="77777777" w:rsidR="00F25DA9" w:rsidRDefault="00F25DA9" w:rsidP="00F25DA9">
      <w:pPr>
        <w:jc w:val="both"/>
      </w:pPr>
    </w:p>
    <w:p w14:paraId="0FD4180B" w14:textId="033C95BA" w:rsidR="00F25DA9" w:rsidRDefault="00F25DA9" w:rsidP="00F25DA9">
      <w:pPr>
        <w:jc w:val="both"/>
      </w:pPr>
    </w:p>
    <w:p w14:paraId="4648ACB4" w14:textId="6D164EB4" w:rsidR="00F25DA9" w:rsidRDefault="00F25DA9" w:rsidP="00F25DA9">
      <w:pPr>
        <w:jc w:val="both"/>
      </w:pPr>
    </w:p>
    <w:p w14:paraId="0BD65404" w14:textId="77777777" w:rsidR="00F25DA9" w:rsidRDefault="00F25DA9" w:rsidP="00F25DA9">
      <w:pPr>
        <w:jc w:val="both"/>
      </w:pPr>
    </w:p>
    <w:p w14:paraId="56AB0BDA" w14:textId="77777777" w:rsidR="00F25DA9" w:rsidRDefault="00F25DA9" w:rsidP="00F25DA9">
      <w:pPr>
        <w:pStyle w:val="Heading2"/>
      </w:pPr>
      <w:r>
        <w:t>Project</w:t>
      </w:r>
      <w:r>
        <w:rPr>
          <w:spacing w:val="-3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Process:</w:t>
      </w:r>
    </w:p>
    <w:p w14:paraId="7AF28A53" w14:textId="77777777" w:rsidR="00F25DA9" w:rsidRDefault="00F25DA9" w:rsidP="00F25DA9">
      <w:pPr>
        <w:spacing w:before="141" w:line="259" w:lineRule="auto"/>
        <w:ind w:left="100" w:right="113"/>
        <w:jc w:val="both"/>
      </w:pPr>
      <w:r>
        <w:t>The</w:t>
      </w:r>
      <w:r>
        <w:rPr>
          <w:spacing w:val="-3"/>
        </w:rPr>
        <w:t xml:space="preserve"> </w:t>
      </w:r>
      <w:r>
        <w:t>GGTACOC staff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applicants,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</w:rPr>
        <w:t>e-snaps</w:t>
      </w:r>
      <w:r>
        <w:t>,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rejected</w:t>
      </w:r>
      <w:r>
        <w:rPr>
          <w:spacing w:val="-3"/>
        </w:rPr>
        <w:t xml:space="preserve"> </w:t>
      </w:r>
      <w:r>
        <w:t>project</w:t>
      </w:r>
      <w:r>
        <w:rPr>
          <w:spacing w:val="-47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>
        <w:rPr>
          <w:b/>
        </w:rPr>
        <w:t>later</w:t>
      </w:r>
      <w:r>
        <w:rPr>
          <w:b/>
          <w:spacing w:val="-6"/>
        </w:rPr>
        <w:t xml:space="preserve"> </w:t>
      </w:r>
      <w:r>
        <w:rPr>
          <w:b/>
        </w:rPr>
        <w:t>than</w:t>
      </w:r>
      <w:r>
        <w:rPr>
          <w:b/>
          <w:spacing w:val="-4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rPr>
          <w:b/>
        </w:rPr>
        <w:t>days</w:t>
      </w:r>
      <w:r>
        <w:rPr>
          <w:b/>
          <w:spacing w:val="-5"/>
        </w:rPr>
        <w:t xml:space="preserve"> </w:t>
      </w:r>
      <w:r>
        <w:rPr>
          <w:b/>
        </w:rPr>
        <w:t>(or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timeline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indicated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HUD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FY21</w:t>
      </w:r>
      <w:r>
        <w:rPr>
          <w:b/>
          <w:spacing w:val="-6"/>
        </w:rPr>
        <w:t xml:space="preserve"> </w:t>
      </w:r>
      <w:r>
        <w:rPr>
          <w:b/>
        </w:rPr>
        <w:t>NOFA)</w:t>
      </w:r>
      <w:r>
        <w:rPr>
          <w:b/>
          <w:spacing w:val="2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8"/>
        </w:rPr>
        <w:t xml:space="preserve"> </w:t>
      </w:r>
      <w:r>
        <w:rPr>
          <w:b/>
        </w:rPr>
        <w:t xml:space="preserve">application deadline </w:t>
      </w:r>
      <w:r>
        <w:t xml:space="preserve">to allow any eligible project applicant(s) that attempted to participate in the </w:t>
      </w:r>
      <w:r w:rsidRPr="00646DFA">
        <w:t>CoC’s planning process and believe they were denied the right to participate in the CoC process in a reasonable manner time to appeal the CoC’s decision to HUD as a Solo Applicant (see the 2021 CoC</w:t>
      </w:r>
      <w:r>
        <w:t xml:space="preserve"> Program Competition NOFA for more information.</w:t>
      </w:r>
    </w:p>
    <w:p w14:paraId="2E7AA43D" w14:textId="77777777" w:rsidR="00E91386" w:rsidRDefault="00F25DA9"/>
    <w:sectPr w:rsidR="00E91386">
      <w:headerReference w:type="default" r:id="rId7"/>
      <w:pgSz w:w="12240" w:h="15840"/>
      <w:pgMar w:top="1360" w:right="1320" w:bottom="1180" w:left="1340" w:header="354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FAB1" w14:textId="77777777" w:rsidR="00F25DA9" w:rsidRDefault="00F25DA9" w:rsidP="00F25DA9">
      <w:r>
        <w:separator/>
      </w:r>
    </w:p>
  </w:endnote>
  <w:endnote w:type="continuationSeparator" w:id="0">
    <w:p w14:paraId="1C7CB31A" w14:textId="77777777" w:rsidR="00F25DA9" w:rsidRDefault="00F25DA9" w:rsidP="00F2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1D04" w14:textId="77777777" w:rsidR="00F25DA9" w:rsidRDefault="00F25DA9" w:rsidP="00F25DA9">
      <w:r>
        <w:separator/>
      </w:r>
    </w:p>
  </w:footnote>
  <w:footnote w:type="continuationSeparator" w:id="0">
    <w:p w14:paraId="5FE45491" w14:textId="77777777" w:rsidR="00F25DA9" w:rsidRDefault="00F25DA9" w:rsidP="00F2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4FC9" w14:textId="4A961B3B" w:rsidR="00F25DA9" w:rsidRDefault="00F25DA9" w:rsidP="00F25DA9">
    <w:pPr>
      <w:pStyle w:val="Header"/>
      <w:jc w:val="center"/>
    </w:pPr>
    <w:r>
      <w:rPr>
        <w:noProof/>
      </w:rPr>
      <w:drawing>
        <wp:inline distT="0" distB="0" distL="0" distR="0" wp14:anchorId="3C58744F" wp14:editId="3EB54147">
          <wp:extent cx="1420495" cy="14141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3350F"/>
    <w:multiLevelType w:val="hybridMultilevel"/>
    <w:tmpl w:val="5B121FE6"/>
    <w:lvl w:ilvl="0" w:tplc="19D6AA2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40EF6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6CE2EA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C842E0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7630E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76E02F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D2AC3A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F62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B2276E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75165E"/>
    <w:multiLevelType w:val="hybridMultilevel"/>
    <w:tmpl w:val="8490F076"/>
    <w:lvl w:ilvl="0" w:tplc="6B4254CE">
      <w:start w:val="1"/>
      <w:numFmt w:val="decimal"/>
      <w:lvlText w:val="%1."/>
      <w:lvlJc w:val="left"/>
      <w:pPr>
        <w:ind w:left="320" w:hanging="221"/>
        <w:jc w:val="left"/>
      </w:pPr>
      <w:rPr>
        <w:rFonts w:hint="default"/>
        <w:w w:val="100"/>
        <w:lang w:val="en-US" w:eastAsia="en-US" w:bidi="ar-SA"/>
      </w:rPr>
    </w:lvl>
    <w:lvl w:ilvl="1" w:tplc="D6C60496">
      <w:start w:val="1"/>
      <w:numFmt w:val="lowerLetter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C0CAE2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9CAC026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4FC6E5D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DF58E6F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66F67FF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E70C5EC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C740633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A9"/>
    <w:rsid w:val="005424DE"/>
    <w:rsid w:val="006A4FF7"/>
    <w:rsid w:val="00F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9F0F68"/>
  <w15:chartTrackingRefBased/>
  <w15:docId w15:val="{5F7E944B-1012-4E7B-9E76-54EABE39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25DA9"/>
  </w:style>
  <w:style w:type="character" w:customStyle="1" w:styleId="BodyTextChar">
    <w:name w:val="Body Text Char"/>
    <w:basedOn w:val="DefaultParagraphFont"/>
    <w:link w:val="BodyText"/>
    <w:uiPriority w:val="1"/>
    <w:rsid w:val="00F25D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F25DA9"/>
    <w:pPr>
      <w:spacing w:before="22"/>
      <w:ind w:left="820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F25D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5D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D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D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Halladay-Schmandt</dc:creator>
  <cp:keywords/>
  <dc:description/>
  <cp:lastModifiedBy>Ashley Halladay-Schmandt</cp:lastModifiedBy>
  <cp:revision>1</cp:revision>
  <dcterms:created xsi:type="dcterms:W3CDTF">2021-06-08T23:51:00Z</dcterms:created>
  <dcterms:modified xsi:type="dcterms:W3CDTF">2021-06-08T23:54:00Z</dcterms:modified>
</cp:coreProperties>
</file>